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DA09" w14:textId="77777777" w:rsidR="00433898" w:rsidRPr="003418D9" w:rsidRDefault="00991274" w:rsidP="00991274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3418D9">
        <w:rPr>
          <w:rStyle w:val="fontstyle01"/>
          <w:rFonts w:ascii="Times New Roman" w:hAnsi="Times New Roman" w:cs="Times New Roman"/>
          <w:sz w:val="24"/>
          <w:szCs w:val="24"/>
        </w:rPr>
        <w:t xml:space="preserve">DAKWAH </w:t>
      </w:r>
      <w:r w:rsidR="00464F59" w:rsidRPr="003418D9">
        <w:rPr>
          <w:rStyle w:val="fontstyle01"/>
          <w:rFonts w:ascii="Times New Roman" w:hAnsi="Times New Roman" w:cs="Times New Roman"/>
          <w:sz w:val="24"/>
          <w:szCs w:val="24"/>
        </w:rPr>
        <w:t>ISLAM DAN KEBERAGAMA</w:t>
      </w:r>
      <w:r w:rsidR="0031524B" w:rsidRPr="003418D9">
        <w:rPr>
          <w:rStyle w:val="fontstyle01"/>
          <w:rFonts w:ascii="Times New Roman" w:hAnsi="Times New Roman" w:cs="Times New Roman"/>
          <w:sz w:val="24"/>
          <w:szCs w:val="24"/>
        </w:rPr>
        <w:t>N</w:t>
      </w:r>
    </w:p>
    <w:p w14:paraId="258A663C" w14:textId="41E5B1DC" w:rsidR="00C56489" w:rsidRPr="00C56489" w:rsidRDefault="003418D9" w:rsidP="00991274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Erus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Effendi</w:t>
      </w:r>
      <w:r w:rsidRPr="003418D9"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dan </w:t>
      </w:r>
      <w:r w:rsidR="00C56489">
        <w:rPr>
          <w:rStyle w:val="fontstyle01"/>
          <w:rFonts w:ascii="Times New Roman" w:hAnsi="Times New Roman" w:cs="Times New Roman"/>
          <w:sz w:val="24"/>
          <w:szCs w:val="24"/>
        </w:rPr>
        <w:t>Fakhrudin</w:t>
      </w:r>
      <w:r w:rsidRPr="003418D9"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8D02217" w14:textId="7617C857" w:rsidR="003418D9" w:rsidRDefault="00000000" w:rsidP="00991274">
      <w:pPr>
        <w:jc w:val="center"/>
      </w:pPr>
      <w:hyperlink r:id="rId4" w:history="1">
        <w:r w:rsidR="003418D9" w:rsidRPr="00C404F8">
          <w:rPr>
            <w:rStyle w:val="Hyperlink"/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="003418D9" w:rsidRPr="00C404F8">
          <w:rPr>
            <w:rStyle w:val="Hyperlink"/>
            <w:rFonts w:ascii="Times New Roman" w:hAnsi="Times New Roman" w:cs="Times New Roman"/>
            <w:sz w:val="24"/>
            <w:szCs w:val="24"/>
          </w:rPr>
          <w:t>erusffendi@tazkia.ac.id</w:t>
        </w:r>
      </w:hyperlink>
      <w:r w:rsidR="003418D9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418D9" w:rsidRPr="00C56489">
        <w:rPr>
          <w:rStyle w:val="fontstyle01"/>
          <w:rFonts w:ascii="Times New Roman" w:hAnsi="Times New Roman" w:cs="Times New Roman"/>
          <w:b w:val="0"/>
          <w:sz w:val="24"/>
          <w:szCs w:val="24"/>
        </w:rPr>
        <w:t>Institut</w:t>
      </w:r>
      <w:proofErr w:type="spellEnd"/>
      <w:r w:rsidR="003418D9" w:rsidRPr="00C56489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Agama Islam Tazkia Bogor</w:t>
      </w:r>
    </w:p>
    <w:p w14:paraId="4980D2E7" w14:textId="5121633F" w:rsidR="00B31DD3" w:rsidRPr="00C56489" w:rsidRDefault="00000000" w:rsidP="00991274">
      <w:pPr>
        <w:jc w:val="center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hyperlink r:id="rId5" w:history="1">
        <w:r w:rsidR="003418D9" w:rsidRPr="00C404F8">
          <w:rPr>
            <w:rStyle w:val="Hyperlink"/>
            <w:rFonts w:ascii="Times New Roman" w:hAnsi="Times New Roman" w:cs="Times New Roman"/>
            <w:sz w:val="24"/>
            <w:szCs w:val="24"/>
            <w:vertAlign w:val="superscript"/>
          </w:rPr>
          <w:t>2</w:t>
        </w:r>
        <w:r w:rsidR="003418D9" w:rsidRPr="00C404F8">
          <w:rPr>
            <w:rStyle w:val="Hyperlink"/>
            <w:rFonts w:ascii="Times New Roman" w:hAnsi="Times New Roman" w:cs="Times New Roman"/>
            <w:sz w:val="24"/>
            <w:szCs w:val="24"/>
          </w:rPr>
          <w:t>fakhrudin@tazkia.ac.id</w:t>
        </w:r>
      </w:hyperlink>
      <w:r w:rsidR="00C56489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56489" w:rsidRPr="00C56489">
        <w:rPr>
          <w:rStyle w:val="fontstyle01"/>
          <w:rFonts w:ascii="Times New Roman" w:hAnsi="Times New Roman" w:cs="Times New Roman"/>
          <w:b w:val="0"/>
          <w:sz w:val="24"/>
          <w:szCs w:val="24"/>
        </w:rPr>
        <w:t>Institut</w:t>
      </w:r>
      <w:proofErr w:type="spellEnd"/>
      <w:r w:rsidR="00C56489" w:rsidRPr="00C56489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Agama Islam Tazkia Bogor</w:t>
      </w:r>
    </w:p>
    <w:p w14:paraId="6E27D037" w14:textId="77777777" w:rsidR="00B31DD3" w:rsidRPr="00C56489" w:rsidRDefault="00B31DD3" w:rsidP="00991274">
      <w:pPr>
        <w:spacing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86BC831" w14:textId="77777777" w:rsidR="00464F59" w:rsidRPr="00C56489" w:rsidRDefault="00B31DD3" w:rsidP="0099127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Abstrak</w:t>
      </w:r>
      <w:proofErr w:type="spellEnd"/>
    </w:p>
    <w:p w14:paraId="29EBBD2B" w14:textId="78FDBB5E" w:rsidR="00EA1B89" w:rsidRPr="00C56489" w:rsidRDefault="003418D9" w:rsidP="0099127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melihat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signifikansi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relevansi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hubungan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antara</w:t>
      </w:r>
      <w:proofErr w:type="spellEnd"/>
      <w:r w:rsidR="0099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91274">
        <w:rPr>
          <w:rFonts w:ascii="Times New Roman" w:hAnsi="Times New Roman" w:cs="Times New Roman"/>
          <w:bCs/>
          <w:color w:val="000000"/>
          <w:sz w:val="24"/>
          <w:szCs w:val="24"/>
        </w:rPr>
        <w:t>Dakwah</w:t>
      </w:r>
      <w:proofErr w:type="spellEnd"/>
      <w:r w:rsidR="00991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Islam</w:t>
      </w:r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kemajemu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kan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secara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historis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gagasan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kemajemu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kan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diadopsi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nabi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Muhammad SAW,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ketika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beliau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tinggal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Madinah.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beliau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hidup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wilayah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masyarakat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heterogen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berbagai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agama,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ras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warna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kulit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suku</w:t>
      </w:r>
      <w:proofErr w:type="spellEnd"/>
      <w:r w:rsidR="00464F59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Ada </w:t>
      </w:r>
      <w:proofErr w:type="spellStart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beberapa</w:t>
      </w:r>
      <w:proofErr w:type="spellEnd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hadist</w:t>
      </w:r>
      <w:proofErr w:type="spellEnd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ayat</w:t>
      </w:r>
      <w:proofErr w:type="spellEnd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tentang</w:t>
      </w:r>
      <w:proofErr w:type="spellEnd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kemajemukan</w:t>
      </w:r>
      <w:proofErr w:type="spellEnd"/>
      <w:r w:rsidR="00B15AE1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Dari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ayat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hadist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tersebut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dapat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disimpulkan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Islam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mengakui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kemajemukan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atau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pluralism,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demikina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kita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tidak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bisa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menyangkal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bahwa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pemikiran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konsep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implementasi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agama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inklusivisme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4875430" w14:textId="4DA7C008" w:rsidR="00354796" w:rsidRPr="00C56489" w:rsidRDefault="00354796" w:rsidP="00991274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Kata </w:t>
      </w:r>
      <w:proofErr w:type="spellStart"/>
      <w:proofErr w:type="gramStart"/>
      <w:r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>kunci</w:t>
      </w:r>
      <w:proofErr w:type="spellEnd"/>
      <w:r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="003418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Islam;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Pluralisme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Kemajemukan</w:t>
      </w:r>
      <w:proofErr w:type="spellEnd"/>
    </w:p>
    <w:p w14:paraId="16B58EC1" w14:textId="77777777" w:rsidR="00EA1B89" w:rsidRPr="00C56489" w:rsidRDefault="00EA1B89" w:rsidP="009912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5E113C" w14:textId="77777777" w:rsidR="005D7631" w:rsidRDefault="00EA1B89" w:rsidP="005D763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Pendahuluan</w:t>
      </w:r>
      <w:proofErr w:type="spellEnd"/>
    </w:p>
    <w:p w14:paraId="623EAF7F" w14:textId="77777777" w:rsidR="005D7631" w:rsidRDefault="00EA1B89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kodrat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makhluk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Tuhan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makhluk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membawa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masing-masing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makhluk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pun, Tuhan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diciptakan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berlatar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sukubangsa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etnis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berbeda-beda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QS.Al</w:t>
      </w:r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>-Hujurat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: 13).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berkenalan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lain,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diperintahkan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Tuhan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menghormati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pembawaan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tata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universal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dahulu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realita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diperankan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kodrat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semestinya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dipahami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kebuntuan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kalau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kegagalan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4863990" w14:textId="77777777" w:rsidR="005D7631" w:rsidRDefault="00EA1B89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pesimis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mempersulit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mendekatkan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). Akan </w:t>
      </w:r>
      <w:proofErr w:type="spellStart"/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C56489">
        <w:rPr>
          <w:rFonts w:ascii="Times New Roman" w:hAnsi="Times New Roman" w:cs="Times New Roman"/>
          <w:sz w:val="24"/>
          <w:szCs w:val="24"/>
        </w:rPr>
        <w:t xml:space="preserve"> </w:t>
      </w:r>
      <w:r w:rsidR="00B31DD3" w:rsidRPr="00C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kenyataannya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posisi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tentunya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pesimisme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tampaknya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relevan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mempersulit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dikalahkannya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(An-Nadwi, 1994: 304).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ternyata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menentang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pesimis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 Nilai-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fundamental agama-agama,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persaudaraan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perdamaian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kasih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sayang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menghormati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kamajemukan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kebersamaan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bekerjasama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42E6DD5" w14:textId="77777777" w:rsidR="005D7631" w:rsidRDefault="00EA1B89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sinilah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melatarbelakangi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>eliti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mengangkat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“Islam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Kemajemukan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). Tema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diangkat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sekadar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singkat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yang sangat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menjunjung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berhubungan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(SARA).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kelahirannya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berdialog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harmonis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Kaum Muslim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dilarang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memaksakan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keyakinan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aqidah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pemeluk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non-Islam. Aqidah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boleh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dipaksakan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apalagi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aqidah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Dalam salah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al-Quran, Allah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benderang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pemaksaan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menganut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keyakinan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(QS.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Al</w:t>
      </w:r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-Baqarah: 256),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boleh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pemaksaan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E32495F" w14:textId="743861F6" w:rsidR="00464F59" w:rsidRPr="00C56489" w:rsidRDefault="00EA1B89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keliru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ditarik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simpulan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yang anti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pemaksaan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kekerasan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penindasan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‘Islam’,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arti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perdamaian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keselamatan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kesuksesan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keberhasilan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Rasulullah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menyebarluaskan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al-Quran –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48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elemahlembutan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kasih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sayang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Justeru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bersikap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keras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menjauh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kata al-Quran (</w:t>
      </w:r>
      <w:proofErr w:type="spellStart"/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QS.Ali</w:t>
      </w:r>
      <w:proofErr w:type="spellEnd"/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Imran: 159). Sangat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riwayat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Rasulullah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keyakinan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menolak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menentang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memusuhi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memerangi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berdakwah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Malahan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teguran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balas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dendam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setimpal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ataskematian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bernama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Hamzah (QS.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>-Nahl: 126).</w:t>
      </w:r>
    </w:p>
    <w:p w14:paraId="7A359162" w14:textId="77777777" w:rsidR="00354796" w:rsidRDefault="00354796" w:rsidP="0099127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A27AF" w14:textId="77777777" w:rsidR="005D7631" w:rsidRDefault="005D7631" w:rsidP="0099127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054DE6" w14:textId="77777777" w:rsidR="005D7631" w:rsidRPr="00C56489" w:rsidRDefault="005D7631" w:rsidP="0099127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7436F" w14:textId="5A5606EF" w:rsidR="005D7631" w:rsidRPr="005D7631" w:rsidRDefault="00354796" w:rsidP="0099127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Pembahasan</w:t>
      </w:r>
      <w:proofErr w:type="spellEnd"/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2B7F39" w:rsidRPr="005D7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5D7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5D7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Keberagaman</w:t>
      </w:r>
      <w:proofErr w:type="spellEnd"/>
      <w:r w:rsidRPr="005D7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Agama Di Indonesia: </w:t>
      </w:r>
      <w:proofErr w:type="spellStart"/>
      <w:r w:rsidRPr="005D7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Pemicu</w:t>
      </w:r>
      <w:proofErr w:type="spellEnd"/>
      <w:r w:rsidRPr="005D7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7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Konflik</w:t>
      </w:r>
      <w:proofErr w:type="spellEnd"/>
      <w:r w:rsidRPr="005D7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3A23F929" w14:textId="77777777" w:rsidR="005D7631" w:rsidRDefault="0035479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berpendapat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bencana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ancaman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perdamaian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persepsi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dominan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Indonesia,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pengambil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Pemahaman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sebenarnya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subur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tertanam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benak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Indonesia.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Persepsi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ancaman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akselerator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ikut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memperpanjang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Indonesia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yang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hakikatnya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berakar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mengeloloa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bangsa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(Efendi, 2007: 53). </w:t>
      </w:r>
    </w:p>
    <w:p w14:paraId="3D10B0BC" w14:textId="77777777" w:rsidR="005D7631" w:rsidRDefault="0035479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Pada era reformasi,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kemajemukan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cenderung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beban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modal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bangsa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Indonesia. Hal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terbukti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munculnya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persoalan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sumbernya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kemajemukan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 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perspektif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keagamaan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Akibatnya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muncul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Padahal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energi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guna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mewujudkan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negara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sejahtera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Seharusnya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era reformasi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menjunjung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demokrasi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Demokrasi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melahirkan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tatanan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otoritarianistik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demokrasi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melahirkan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rentan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konflik-konflik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komunal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sebab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demokrasi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klindan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komunitas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sipil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648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Selain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Islam,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kurang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300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menyebut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mutiara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eksplisit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(QS. Al-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Hujurat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: 11).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Sehubungan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dipandang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plural yang</w:t>
      </w:r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demokratis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ketahanan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Permasalahannya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lemah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anti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anti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pluralisme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dikembangkan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dua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inter-group relation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anggota-anggota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etnik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agama)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integrasi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inter-group relation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menetralisir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konflik-konflik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memiliki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loyalitas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tunggal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loyalitas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ganda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kelompok-kelompok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masuki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kekhawatiran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fanatisme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sempit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sentimen-sentimen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primordial juga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dinetralisir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kegandaan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loyalitas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masingmasing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AF385FD" w14:textId="77777777" w:rsidR="005D7631" w:rsidRDefault="0035479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menegaskan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majemuk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penganutan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 Nilai-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perekat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kelompok-kelompok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 Nilai-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bersumber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dominan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multi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etnik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acuan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terpola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ketahanan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6727F7" w14:textId="1272D8CA" w:rsidR="005D7631" w:rsidRDefault="0035479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Indonesia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ditarik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Dua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sangatlah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mengkapitalisasi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keterlibatan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regional,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murni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guna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mobilisasi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resource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dipolitisir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pemicu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lingkaran-lingkaran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terlibat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(Efendi, 2007: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55).</w:t>
      </w:r>
    </w:p>
    <w:p w14:paraId="74174E91" w14:textId="4B681520" w:rsidR="002B7F39" w:rsidRPr="005D7631" w:rsidRDefault="00354796" w:rsidP="005D7631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Persoalannya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kunci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memperluas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Johari Efendi,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mungkin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menjawab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D2DF528" w14:textId="77777777" w:rsidR="00354796" w:rsidRPr="00C56489" w:rsidRDefault="00354796" w:rsidP="0099127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Kegagalan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agama-agama di Indonesia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mencapai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visinya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(Efendi, 2007</w:t>
      </w:r>
      <w:r w:rsidR="002B7F39" w:rsidRPr="00C56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722C956" w14:textId="77777777" w:rsidR="00EA1E86" w:rsidRPr="00C56489" w:rsidRDefault="0035479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fakta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lapangan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mana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pembunuh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dehumanisasi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ribu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nyawa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hilang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agama’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Ambon, Poso, dan</w:t>
      </w:r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Faktanya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pemimpin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berperan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semangat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mengobarkan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Walaupun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disadari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aktor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posisi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pemimpin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institusinya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kapasitas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agen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conflict building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peace building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kenyataannya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cenderung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conflict building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Ini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agama-agama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Indonesia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gagal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mengemban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visi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perdamaian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keselamatan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perlindungan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dipahami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memuliakan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Jadi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horizontal</w:t>
      </w:r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menempati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posisi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sentral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obyek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sekaligus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subyek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</w:t>
      </w:r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kemasyarakatan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agama-agama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ditanggulangi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bersama-sama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Masyarakat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diyakinkan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kekerasan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bertentangan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 Peran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dimulai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pemimpin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</w:t>
      </w:r>
    </w:p>
    <w:p w14:paraId="7C92BEDB" w14:textId="77777777" w:rsidR="00EA1E86" w:rsidRPr="00C56489" w:rsidRDefault="00354796" w:rsidP="0099127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Sisi formal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dominan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sisi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fungsional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(Efendi, 2007: 57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004D12" w14:textId="77777777" w:rsidR="005D7631" w:rsidRDefault="0035479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teologi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ritual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teologi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ritual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dirumuskan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formal oleh</w:t>
      </w:r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pembeda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kenyataannya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formal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dipentingkan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fungsional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umumnya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berimbang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pada dua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relasi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rukun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Dalam Islam,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hablum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minallah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vertikal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Tuhan) dan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hablum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minannas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horizontal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2078E3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makhluk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). Dalam al-Quran Allah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menegaskan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berpegang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dua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ditimpa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kehinaan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di mana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dia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>berada</w:t>
      </w:r>
      <w:proofErr w:type="spellEnd"/>
      <w:r w:rsidR="0013465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(QS. Ali Imran: 112). </w:t>
      </w:r>
    </w:p>
    <w:p w14:paraId="24B0D6DD" w14:textId="6199D381" w:rsidR="002B7F39" w:rsidRPr="00C56489" w:rsidRDefault="0013465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Pendidikan agama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diterima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disampaikan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sekolah-sekolah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ternyata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memindahkan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masjid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Anak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wajib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menghafal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doa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shalat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gerakannya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diujikan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lulus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Tidak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diajarkan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ditanamkan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sebenarnya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shalat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Cara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mengekalkan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pemahaman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formal,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masjid,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al-Quran,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simbol-simbol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Keterikatan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keterikatan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simbolik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Atas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simbol-simbol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dirusak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asumsi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dominan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merusak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mengancam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lain.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asumsi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pada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masjid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dibakar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terbakar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Lalu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bersemangat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dirinya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paling ‘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tindakan-tindakan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irrasional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rela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demi agama.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Beribadah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diartikan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Tuhan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berdampak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berubah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posisinya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yang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seharusnya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payung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penuntun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jalan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kebenaran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partai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lainlain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mengubah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strategi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pengajaran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melulu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formalnya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berusaha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mensinergikan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formal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fungsionalnya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2FA724" w14:textId="77777777" w:rsidR="002B7F39" w:rsidRPr="00C56489" w:rsidRDefault="00134656" w:rsidP="0099127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Agama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masih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survival unit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sebagian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besar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Indonesia (Efendi, 2007: 58)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2BD529" w14:textId="77777777" w:rsidR="002B7F39" w:rsidRPr="00C56489" w:rsidRDefault="0013465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melekat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macam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datang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lahir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dibangun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dibagi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dua,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berubah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berubah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berubah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sekalipun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sulit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ditilik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ternyata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ditempatkan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survival unit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identitasnya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Artinya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ikut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memperkokoh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menghidupkan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identitasnya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Survival unit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solidaritas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terkadang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bertindak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berpikir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ancaman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survival unit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dipahami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mengorbankan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segalanya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nyawanya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Atas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menggeser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survival unit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solidaritas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superordinate goal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relasi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</w:t>
      </w:r>
    </w:p>
    <w:p w14:paraId="769D71DD" w14:textId="77777777" w:rsidR="002B7F39" w:rsidRPr="00C56489" w:rsidRDefault="00134656" w:rsidP="0099127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Tingkat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kecurigaan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tinggi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(Efendi, 2007: 59). </w:t>
      </w:r>
    </w:p>
    <w:p w14:paraId="130EED32" w14:textId="77777777" w:rsidR="005D7631" w:rsidRDefault="0013465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survival unit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memunculkan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solidaritas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tapi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sekaligus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melahirkan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jarak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kecurigaan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Munculnya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stereotype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akibat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jauh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posisi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survival unit.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terbayang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Muslim, Ambon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Kristen, Flores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Katolik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 dan lain-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tingkatan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ternyata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tampak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pengkaplingan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’ wilayah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 Kasus</w:t>
      </w:r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Ambon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komunitas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merujuk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Nama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marga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asal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komunitas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mana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Pergerakan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lain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dikapling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ancaman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Perpindahan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dianggap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menistakan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dianggap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ancaman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Poso,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peristiwa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perkelahian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pemuda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menyulut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ternyata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pengkondisian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masuknya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ustad (guru Agama Islam)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pendeta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Atas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dibuka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ruang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dialog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pimpinan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 </w:t>
      </w:r>
    </w:p>
    <w:p w14:paraId="112621AD" w14:textId="725AD085" w:rsidR="002B7F39" w:rsidRPr="00C56489" w:rsidRDefault="00134656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prosesnya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kesepakatan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pegangan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posisi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Endingnya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rencana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tindak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lanjut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kampanye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gerakan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lapisan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menyamaratakan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enyederhanakan</w:t>
      </w:r>
      <w:proofErr w:type="spellEnd"/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ermasalahan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muncul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permukaan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Kita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ruang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teritorial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spesifik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elastisitas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toleransinya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juga sangat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dipengaruhi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faktor-faktor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lain di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luar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agama.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pemetaan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bergerak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naik pada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tingkatan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minimal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terdegradasi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tingkatan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rendah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5D7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dibangun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berdampingan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damai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71544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peacefull</w:t>
      </w:r>
      <w:proofErr w:type="spellEnd"/>
      <w:r w:rsidR="00371544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co-existence</w:t>
      </w:r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menghormati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71544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mutualrespect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menjalin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kerjasama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mengatasi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problem </w:t>
      </w:r>
      <w:proofErr w:type="spellStart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="00371544"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E69D05" w14:textId="77777777" w:rsidR="00371544" w:rsidRPr="00C56489" w:rsidRDefault="00371544" w:rsidP="0099127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7F39" w:rsidRPr="00C564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</w:t>
      </w:r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Islam: Agama </w:t>
      </w:r>
      <w:proofErr w:type="spellStart"/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Toleransi</w:t>
      </w:r>
      <w:proofErr w:type="spellEnd"/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</w:p>
    <w:p w14:paraId="7022CB57" w14:textId="7AE34859" w:rsidR="002B7F39" w:rsidRPr="00C56489" w:rsidRDefault="00371544" w:rsidP="005D763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sejarahnya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hampir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lepas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Pada masa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tampil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pada masa yang lain,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tampil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normatif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Islam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digariskan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dipisahkan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Di mana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Islam, di situ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diturunkan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mengusung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hampir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seumur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Riwayat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sebagaimana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termaktub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kitab-kitab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sirah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mengkisahkan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pertemuan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Rasulullah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Waraqah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bin Naufal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pemimpin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Kristiani kala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sekaligus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penterjamah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kitab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Injil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Bahasa Arab)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bukti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disampaikan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kitab-kitab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menerima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wahyu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Nabi Muhammad SAW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ketakutan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gemetar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galau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Nabi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pulang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menceritakan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isteri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tercintanya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Khadijah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ra.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Nabi SAW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tampak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tenang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Khadijah,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apalagi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khadijah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berjanji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membawa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menemui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Waraqah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bin Naufal. 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perjalanan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menuju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Ka’bah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thawaf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Waraqah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bin Naufal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bertemu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Nabi SAW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didampingi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Khadijah. Saat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Nabi Muhammad SAW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menceritakan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dialaminya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tokoh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kitab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Waraqah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pun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menjawab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pertanda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kenabian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Pertanda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turun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para Nabi</w:t>
      </w:r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lain.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Engkau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Nabi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Seandainya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diberi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umur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membantumu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(Muhammad)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diusir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kaummu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pun Nabi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diusir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kaumnya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(Haikal, 2001: 153).  Sangat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ayat-ayat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al-Quran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Hadis Nabi SAW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pentingnya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toleran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keharusan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menghargai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Islam.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Karenanya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heran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mewarnai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hampir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gerak-gerik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” Islam di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ruang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keilmuannya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Baik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menyangkut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peribadatan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‘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ubudiyah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interaksi-sosial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mu’amalah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pidana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jinayah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). Dalam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ketentuan-ketentuan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diperkenalkan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konteks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seutuhnya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’,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sekali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Islam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mengakui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ketetapan-ketetapan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sebelum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kedatangan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(Al-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Qaththan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3683">
        <w:rPr>
          <w:rFonts w:ascii="Times New Roman" w:hAnsi="Times New Roman" w:cs="Times New Roman"/>
          <w:color w:val="000000"/>
          <w:sz w:val="24"/>
          <w:szCs w:val="24"/>
        </w:rPr>
        <w:t>tt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: 47).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Menyadari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kenyataan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sejumlah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(</w:t>
      </w:r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fuqaha</w:t>
      </w:r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berusaha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merumuskan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pijakan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mempertahankan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bangunan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menetapkan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berbunyi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syar’u</w:t>
      </w:r>
      <w:proofErr w:type="spellEnd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man 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qablana</w:t>
      </w:r>
      <w:proofErr w:type="spellEnd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syar’un</w:t>
      </w:r>
      <w:proofErr w:type="spellEnd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lana</w:t>
      </w:r>
      <w:proofErr w:type="spellEnd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syari’at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terdahulu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syari’at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Memang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eksistensi</w:t>
      </w:r>
      <w:proofErr w:type="spellEnd"/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diperdebatkan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para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(</w:t>
      </w:r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fuqaha</w:t>
      </w:r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mengingkari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Sebagian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syar’u</w:t>
      </w:r>
      <w:proofErr w:type="spellEnd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man 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qablana</w:t>
      </w:r>
      <w:proofErr w:type="spellEnd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pijakan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kokoh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(Abdul Aziz,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: 46-47). Pada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dataran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semangat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syar’u</w:t>
      </w:r>
      <w:proofErr w:type="spellEnd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man </w:t>
      </w:r>
      <w:proofErr w:type="spellStart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qablana</w:t>
      </w:r>
      <w:proofErr w:type="spellEnd"/>
      <w:r w:rsidR="0033591F"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menjaga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keberlangsungan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bangunan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Islam. Selain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juga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keterkaitan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sangat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erat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syari’atsyari’at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syari’at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merta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memutuskan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ikatan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harmonisasi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persaudaraan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agama-agama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Justru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bangunan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kesamaan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universal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agama-agama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bukti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agama-agama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Tuhan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Dzat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serba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Maha Allah SWT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terminology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Islam. Oleh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mensikapi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penuh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menghormati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menghargai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harga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mati</w:t>
      </w:r>
      <w:proofErr w:type="spellEnd"/>
      <w:r w:rsidR="0033591F"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ditawar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taat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mengikuti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ajaran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agamanya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masing-masing,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="009F0177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Islam.</w:t>
      </w:r>
    </w:p>
    <w:p w14:paraId="5E4B7158" w14:textId="5D3DC23F" w:rsidR="00A43683" w:rsidRDefault="009F0177" w:rsidP="0099127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7F39"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B7F39"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Islam: Agama </w:t>
      </w:r>
      <w:proofErr w:type="spellStart"/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Kemanusiaan</w:t>
      </w:r>
      <w:proofErr w:type="spellEnd"/>
    </w:p>
    <w:p w14:paraId="4FF182D7" w14:textId="77777777" w:rsidR="00A43683" w:rsidRDefault="009F0177" w:rsidP="00A4368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Cara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menyangkut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acara ritual di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ibadah,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diimplementasikan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keberpihakan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Iman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seharusnya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mendarat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mengawang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angkasa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Iman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menguatkan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sisi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begitu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menguatkan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eimanan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tasawwuf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terminology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ittihad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Tuhan,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terminologi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hulul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juga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menyatu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Tuhan.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keduanya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penyatuan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kalau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ittihad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naik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langit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ketuhanan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hulul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langit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ketuhanan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turun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01DFB2A2" w14:textId="73D491D2" w:rsidR="008504D6" w:rsidRPr="00C56489" w:rsidRDefault="009F0177" w:rsidP="00A4368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perkataan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1E8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beriman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manusiawi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manusiawi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beriman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formalitas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mementingkan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ritual dan</w:t>
      </w:r>
      <w:r w:rsidR="00EA1E8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fundamental,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keadilan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kasih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sayang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kepekaan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penderitaan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mewajibkan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umatnya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bertaqwa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saudaranya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tertindas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imannya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berani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mengambil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resiko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berpihak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lemah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takut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kebenaran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Keimanan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disertai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kepekaan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EA1E8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slogan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kecerdasan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mengkritisi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praktik-praktik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keagamaan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bertentangan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Keberpihakan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cerdas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cerdas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digerakkan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kepentingan-kepentingan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seolah-olah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sengaja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dibalut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agama,</w:t>
      </w:r>
      <w:r w:rsidR="00EA1E8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bertentangan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supaya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Praktik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keagamaan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bertentangan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salah</w:t>
      </w:r>
      <w:r w:rsidR="00EA1E8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Ketika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Rasulullah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berkumpul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sahabat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berkata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pergilah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bermusuhan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saudaranya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Lalu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berdirilah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sahabat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meminta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maaf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saudaranya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bergabung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kembali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Rasulullah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sahabat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Rasulullah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sahabat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menjelaskan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bermusuhan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A1E8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bibinya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bermaafan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Rasulullah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berkata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rahmat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turun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kaum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bermusuhan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saudaranya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</w:t>
      </w:r>
      <w:r w:rsidR="00A436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Hadis</w:t>
      </w:r>
      <w:r w:rsidR="00A436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Sungguh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menakjubkan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Rasulullah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majlisnya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dihadiri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bermusuhan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khawatir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rahmat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turun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padanya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majlis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bermusuhan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berdamailah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saudaramu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dahulu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engkau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beribadah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Bila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tanganmu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penuh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penindasan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cucilah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dahulu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beribadahlah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Allah. Allah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memperhatikan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ibadah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berlumuran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dosa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Bukankah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taubat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dosa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sulit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dibanding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dosa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Allah? Hal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 sangat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memperhatikan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sisi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beriman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menyucikan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dunia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menegakkan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religiusitas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memikirkan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dirinya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justeru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keselamatan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lain.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Keimanan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membuahkan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perdamaian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keadilan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kesejahteraan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Islam</w:t>
      </w:r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memisahkan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kesholehan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individual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kesholehan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Keduanya</w:t>
      </w:r>
      <w:proofErr w:type="spellEnd"/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seiring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pincang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keimanan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sesungguhnya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keimanan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mementingkan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acara ritual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keagamaan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sensitif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problematika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taqwa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menjalankan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perintah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menjauhi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larangan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-Nya,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keyakinan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praktik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Iman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terimplementasi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prilaku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baik.Berbuat</w:t>
      </w:r>
      <w:proofErr w:type="spellEnd"/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sebagaimana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kerusuhan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akhir-akhir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tinjauan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akidah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dibenarkan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648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menggandengkan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urusan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ketuhanan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urusan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Iman (yang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ketuhanan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digandengkan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amal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soleh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Bersyukur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(yang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ketuhanan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digandengkan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bersyukur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kedua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). Ritual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sholat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ketuhanan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digandengkan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zakat (yang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memperkuat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tesis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yang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mementingkan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harmonisasi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dua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kesholehan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kesholehan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individual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kesholehan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dua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kesholehan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kemajemukan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dipahami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benar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mengerti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mahluk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sempurna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alasan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merusak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Hidup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damai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tentram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naluri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terwujud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kesadaran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kemajemukan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) dan</w:t>
      </w:r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sempurna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sempurna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menghiasi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lembaran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kitab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suci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dirajut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agama lain,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sempurna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kebangsaan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pembawa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ukhuwwah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persaudaraan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mungkin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beratnya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resiko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jembatan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ukhuwwah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Islam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menghargai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memelihara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ukhuwwah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amal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soleh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 “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Maukah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Aku</w:t>
      </w:r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tunjukkan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kalian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amal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pahalanya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shalat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puasa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haji?”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Rasulullah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shahabat-shahabatnya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 Ketika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shahabat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mengiyakannya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Nabi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melanjutkan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mendamaikan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orang-orang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bertengkar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kalian.” (H.R. al-Bukhari) (Rahmat, 1991: 48).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hadits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lain juga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Ubadah bin al-</w:t>
      </w:r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Shamit</w:t>
      </w:r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menceritakan</w:t>
      </w:r>
      <w:proofErr w:type="spellEnd"/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: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Nabi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berkata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: “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Maukah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kalian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tunjukkan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halhal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menyebabkan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mengangkat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derajatnya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.” Ketika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sahabatsahabatnya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menjawab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na’am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Nabi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berkata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“Kau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maklumi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menentangmu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ketidaktahuannya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engkau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maafkan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menganiayamu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kau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rezekiku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mengharamkan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hartanya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untukmu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engkau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sambungkan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persaudaraan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orang yang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memutuskannya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al-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Targhib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wa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al-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Tarhib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 3:342) (Rahmat, 1991: 48).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Sangat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al-Quran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Hadis</w:t>
      </w:r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Rasulullah,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mengisyaratkan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pentingnya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ritual.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dua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tampak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social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kesholehan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diutamakan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berdimensi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ritual</w:t>
      </w:r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kesholehan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individual). Hal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kemungkinan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dikaitkan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khalifah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(QS. Al</w:t>
      </w:r>
      <w:r w:rsidR="00A4368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Baqarah :</w:t>
      </w:r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30). Menjadi khalifah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berjalan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sempurna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berada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kerusakan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bermusuhan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ditetapkanlah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bersaudara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berdamai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kasih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sayang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berlaku</w:t>
      </w:r>
      <w:proofErr w:type="spellEnd"/>
      <w:r w:rsidR="00E76914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adil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tolong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menolong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kemaslahatan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mahluk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muka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bumi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965551" w14:textId="77777777" w:rsidR="00A43683" w:rsidRDefault="009F0177" w:rsidP="00A4368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56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Penutup</w:t>
      </w:r>
      <w:proofErr w:type="spellEnd"/>
    </w:p>
    <w:p w14:paraId="61D37AA3" w14:textId="7E6600F1" w:rsidR="002B7F39" w:rsidRPr="00C56489" w:rsidRDefault="009F0177" w:rsidP="00A4368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paparan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kini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diperbincangkan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pemahaman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silang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sengkarut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seputar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 Ada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membingkai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jubah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lastRenderedPageBreak/>
        <w:t>sosial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Ada pula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membungkus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baju agama.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baju yang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terakhir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kerap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perbincangan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soal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kian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memanas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 Karena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berbincang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bagaikan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berbincang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paradoks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Di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diyakini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jalan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penjamin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keselamatan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cinta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proofErr w:type="gramStart"/>
      <w:r w:rsidR="00C5648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erdamaian.Namun</w:t>
      </w:r>
      <w:proofErr w:type="spellEnd"/>
      <w:proofErr w:type="gram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 lain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sejarah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membuktikan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agama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justru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penyebab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alasan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kehancuran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kemalangan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umat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Atas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agama, orang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mencinta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agama pula,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menghancurkan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A43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label agama pula, orang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seolah-olah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dihalalkan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meniadakan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sesamanya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negara yang plural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Indonesia,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arif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bijak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suku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agama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kenyataan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dielakkan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Konsekwensi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logisnya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tradisi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dialog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konstruktif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kebersamaan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kemajemukan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Begitu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beragamnya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agama,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visi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disadari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gejala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alamiah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Proses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penyadaran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menuntut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pengakuan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sekaligus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lain. Baik </w:t>
      </w:r>
      <w:proofErr w:type="spellStart"/>
      <w:r w:rsidR="00A4368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erbedaan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persamaan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seharusnya</w:t>
      </w:r>
      <w:proofErr w:type="spellEnd"/>
      <w:r w:rsid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diakui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terbuka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pandang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rangka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keamanan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kerukunan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menuju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Indonesia yang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harmonis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 Islam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mengharuskan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terwujudnya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kebersamaan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keberagaman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sebagaimana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sirah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Rasulul</w:t>
      </w:r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lah yang </w:t>
      </w:r>
      <w:proofErr w:type="spellStart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="002B7F39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ajaran</w:t>
      </w:r>
      <w:proofErr w:type="spellEnd"/>
      <w:r w:rsidR="008504D6"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al-Quran.</w:t>
      </w:r>
    </w:p>
    <w:p w14:paraId="525407A3" w14:textId="77777777" w:rsidR="00A43683" w:rsidRPr="00A43683" w:rsidRDefault="009F0177" w:rsidP="00A4368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3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Pustaka</w:t>
      </w:r>
    </w:p>
    <w:p w14:paraId="3A11CB5E" w14:textId="77777777" w:rsidR="00A43683" w:rsidRDefault="009F0177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>Ahmad Al-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Nadawi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Ali.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Al-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Qawa’id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al-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Fiqhiyyah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Damaskus: Dar al-Qalam, 1994.</w:t>
      </w:r>
    </w:p>
    <w:p w14:paraId="5ACB5731" w14:textId="77777777" w:rsidR="00A43683" w:rsidRDefault="00A43683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13259" w14:textId="747C2CB0" w:rsidR="00A43683" w:rsidRDefault="009F0177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Abdul Aziz, Amir.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Ushul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al-Fiqh al-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Islamiy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Jilid II. Cet. I. Kairo: Dar al-Salam.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3E0C3A" w14:textId="77777777" w:rsidR="00A43683" w:rsidRDefault="00A43683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30F86" w14:textId="45DCEB5C" w:rsidR="00A43683" w:rsidRDefault="009F0177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>Al-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Qaththan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, Manna’.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Tarikh al-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Tasyri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’ al-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Islamiy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Kairo: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Maktabah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Wahbah.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tt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C1CDF0" w14:textId="77777777" w:rsidR="00A43683" w:rsidRDefault="00A43683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074B8" w14:textId="3267E4D0" w:rsidR="00A43683" w:rsidRDefault="009F0177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Efendi, Johari.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Problem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Intoleransi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Konflik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Sosial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Indonesia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Dalam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“Modul Fiqh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Tasamuh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Membangun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Toleransi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Berbasis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Pesantren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 Masjid”, 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>2007.</w:t>
      </w:r>
    </w:p>
    <w:p w14:paraId="604D0079" w14:textId="77777777" w:rsidR="00A43683" w:rsidRDefault="00A43683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E9B796" w14:textId="640649E0" w:rsidR="00A43683" w:rsidRDefault="009F0177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Haikal, Husein.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Hayatu</w:t>
      </w:r>
      <w:proofErr w:type="spellEnd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Muhammad</w:t>
      </w: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Kairo: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Maktabah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al-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Usroh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>, 2001.</w:t>
      </w:r>
    </w:p>
    <w:p w14:paraId="054E8556" w14:textId="77777777" w:rsidR="00A43683" w:rsidRDefault="00A43683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4A499" w14:textId="05180398" w:rsidR="009F0177" w:rsidRPr="00C56489" w:rsidRDefault="009F0177" w:rsidP="00A43683">
      <w:pPr>
        <w:spacing w:line="240" w:lineRule="auto"/>
        <w:ind w:left="1080" w:hanging="108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Rahmat, Jalaludin. </w:t>
      </w:r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Islam </w:t>
      </w:r>
      <w:proofErr w:type="spellStart"/>
      <w:r w:rsidRPr="00C56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Aktual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56489">
        <w:rPr>
          <w:rFonts w:ascii="Times New Roman" w:hAnsi="Times New Roman" w:cs="Times New Roman"/>
          <w:color w:val="000000"/>
          <w:sz w:val="24"/>
          <w:szCs w:val="24"/>
        </w:rPr>
        <w:t>Cetakan</w:t>
      </w:r>
      <w:proofErr w:type="spellEnd"/>
      <w:r w:rsidRPr="00C56489">
        <w:rPr>
          <w:rFonts w:ascii="Times New Roman" w:hAnsi="Times New Roman" w:cs="Times New Roman"/>
          <w:color w:val="000000"/>
          <w:sz w:val="24"/>
          <w:szCs w:val="24"/>
        </w:rPr>
        <w:t xml:space="preserve"> II. Bandung: Al-Mizan, 1991</w:t>
      </w:r>
    </w:p>
    <w:sectPr w:rsidR="009F0177" w:rsidRPr="00C56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59"/>
    <w:rsid w:val="00134656"/>
    <w:rsid w:val="00184DB6"/>
    <w:rsid w:val="002078E3"/>
    <w:rsid w:val="002B7F39"/>
    <w:rsid w:val="0031524B"/>
    <w:rsid w:val="0033591F"/>
    <w:rsid w:val="003418D9"/>
    <w:rsid w:val="00354796"/>
    <w:rsid w:val="00371544"/>
    <w:rsid w:val="003A35D2"/>
    <w:rsid w:val="00433898"/>
    <w:rsid w:val="00464F59"/>
    <w:rsid w:val="005D7631"/>
    <w:rsid w:val="006A0D06"/>
    <w:rsid w:val="008504D6"/>
    <w:rsid w:val="00991274"/>
    <w:rsid w:val="009F0177"/>
    <w:rsid w:val="00A43683"/>
    <w:rsid w:val="00A71B0E"/>
    <w:rsid w:val="00B15AE1"/>
    <w:rsid w:val="00B31DD3"/>
    <w:rsid w:val="00C01EF9"/>
    <w:rsid w:val="00C56489"/>
    <w:rsid w:val="00CF1A36"/>
    <w:rsid w:val="00E76914"/>
    <w:rsid w:val="00EA1B89"/>
    <w:rsid w:val="00EA1E86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682C"/>
  <w15:chartTrackingRefBased/>
  <w15:docId w15:val="{A4A3BD2D-292F-46C9-B7E7-FBC52968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64F59"/>
    <w:rPr>
      <w:rFonts w:ascii="Garamond" w:hAnsi="Garamon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64F59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F5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64F59"/>
  </w:style>
  <w:style w:type="character" w:customStyle="1" w:styleId="fontstyle11">
    <w:name w:val="fontstyle11"/>
    <w:basedOn w:val="DefaultParagraphFont"/>
    <w:rsid w:val="00EA1B89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71544"/>
    <w:rPr>
      <w:rFonts w:ascii="Garamond" w:hAnsi="Garamon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64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fakhrudin@tazkia.ac.id" TargetMode="External"/><Relationship Id="rId4" Type="http://schemas.openxmlformats.org/officeDocument/2006/relationships/hyperlink" Target="mailto:1erusffendi@tazki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Juragan</dc:creator>
  <cp:keywords/>
  <dc:description/>
  <cp:lastModifiedBy>PF3NHV17@outlook.com</cp:lastModifiedBy>
  <cp:revision>4</cp:revision>
  <dcterms:created xsi:type="dcterms:W3CDTF">2024-01-29T02:56:00Z</dcterms:created>
  <dcterms:modified xsi:type="dcterms:W3CDTF">2024-07-12T08:00:00Z</dcterms:modified>
</cp:coreProperties>
</file>